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383BB" w14:textId="34442049" w:rsidR="00C04281" w:rsidRDefault="00C04281" w:rsidP="00EA71F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 w:rsidRPr="00C04281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On 30 June 2022, an independent external review, led by the Honourable Robert Gotterson AO KC</w:t>
      </w:r>
      <w:r w:rsidR="00C07F9D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,</w:t>
      </w:r>
      <w:r w:rsidRPr="00C04281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was established into the Queensland casino operations of The Star Entertainment Group Limited (Treasury Brisbane and The Star Gold Coast) following media allegations of money laundering, organised crime and large-scale fraud (Gotterson Review).</w:t>
      </w:r>
    </w:p>
    <w:p w14:paraId="42489016" w14:textId="15CBD642" w:rsidR="00C04281" w:rsidRDefault="00C04281" w:rsidP="00EA71F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The report of the Gotterson Review was delivered on 30 September 2022. It made </w:t>
      </w:r>
      <w:r w:rsidR="005E2C4D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br/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12 recommendations for enhanced casino regulation in Queensland. </w:t>
      </w:r>
    </w:p>
    <w:p w14:paraId="396EEDFD" w14:textId="714BEDB5" w:rsidR="005E2C4D" w:rsidRDefault="005E2C4D" w:rsidP="00EA71F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 w:rsidRPr="005E2C4D">
        <w:rPr>
          <w:rFonts w:ascii="Arial" w:eastAsia="Calibri" w:hAnsi="Arial" w:cs="Arial"/>
          <w:bCs/>
          <w:color w:val="000000" w:themeColor="text1"/>
          <w:sz w:val="22"/>
          <w:szCs w:val="22"/>
          <w:u w:val="single"/>
          <w:lang w:eastAsia="en-US"/>
        </w:rPr>
        <w:t>Cabinet noted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Pr="005E2C4D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the findings and recommendations of the ‘External review of the Queensland operations of The Star Entertainment Group Limited’ (Gotterson Review) report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.</w:t>
      </w:r>
    </w:p>
    <w:p w14:paraId="2E637667" w14:textId="0BB4297B" w:rsidR="0050144F" w:rsidRPr="0050144F" w:rsidRDefault="0050144F" w:rsidP="00EA71F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 w:rsidRPr="0050144F">
        <w:rPr>
          <w:rFonts w:ascii="Arial" w:eastAsia="Calibri" w:hAnsi="Arial" w:cs="Arial"/>
          <w:bCs/>
          <w:color w:val="000000" w:themeColor="text1"/>
          <w:sz w:val="22"/>
          <w:szCs w:val="22"/>
          <w:u w:val="single"/>
          <w:lang w:eastAsia="en-US"/>
        </w:rPr>
        <w:t>Cabinet approved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Pr="0050144F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the Government response to the Gotterson Review report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Pr="0050144F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to support all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br/>
      </w:r>
      <w:r w:rsidRPr="0050144F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12 recommendations in-principle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.</w:t>
      </w:r>
    </w:p>
    <w:p w14:paraId="37E346E7" w14:textId="7851CBE9" w:rsidR="00C04281" w:rsidRDefault="00C04281" w:rsidP="00EA71F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 w:rsidRPr="0050144F">
        <w:rPr>
          <w:rFonts w:ascii="Arial" w:eastAsia="Calibri" w:hAnsi="Arial" w:cs="Arial"/>
          <w:bCs/>
          <w:color w:val="000000" w:themeColor="text1"/>
          <w:sz w:val="22"/>
          <w:szCs w:val="22"/>
          <w:u w:val="single"/>
          <w:lang w:eastAsia="en-US"/>
        </w:rPr>
        <w:t>Cabinet approved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the public release of the report and </w:t>
      </w:r>
      <w:r w:rsidR="0050144F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the 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Government response. </w:t>
      </w:r>
    </w:p>
    <w:p w14:paraId="1B0F0091" w14:textId="7F778F6A" w:rsidR="00FA56A5" w:rsidRPr="00C04281" w:rsidRDefault="00FA56A5" w:rsidP="00EA71FA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u w:val="single"/>
          <w:lang w:eastAsia="en-US"/>
        </w:rPr>
      </w:pPr>
      <w:r w:rsidRPr="005E2C4D">
        <w:rPr>
          <w:rFonts w:ascii="Arial" w:eastAsia="Calibri" w:hAnsi="Arial" w:cs="Arial"/>
          <w:bCs/>
          <w:i/>
          <w:iCs/>
          <w:color w:val="000000" w:themeColor="text1"/>
          <w:sz w:val="22"/>
          <w:szCs w:val="22"/>
          <w:u w:val="single"/>
          <w:lang w:eastAsia="en-US"/>
        </w:rPr>
        <w:t>Attachments</w:t>
      </w:r>
      <w:r w:rsidR="005E2C4D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:</w:t>
      </w:r>
    </w:p>
    <w:p w14:paraId="19A9171E" w14:textId="6AC4F88C" w:rsidR="00C04281" w:rsidRPr="00C04281" w:rsidRDefault="00BB6924" w:rsidP="00EA71FA">
      <w:pPr>
        <w:pStyle w:val="ListParagraph"/>
        <w:keepLines/>
        <w:numPr>
          <w:ilvl w:val="0"/>
          <w:numId w:val="3"/>
        </w:numPr>
        <w:spacing w:before="120"/>
        <w:ind w:left="709" w:hanging="284"/>
        <w:contextualSpacing w:val="0"/>
        <w:jc w:val="both"/>
        <w:rPr>
          <w:rStyle w:val="eop"/>
          <w:rFonts w:ascii="Arial" w:hAnsi="Arial" w:cs="Arial"/>
          <w:color w:val="000000" w:themeColor="text1"/>
          <w:sz w:val="22"/>
          <w:szCs w:val="22"/>
        </w:rPr>
      </w:pPr>
      <w:hyperlink r:id="rId9" w:history="1">
        <w:r w:rsidR="00C04281" w:rsidRPr="004E445D">
          <w:rPr>
            <w:rStyle w:val="Hyperlink"/>
            <w:rFonts w:ascii="Arial" w:hAnsi="Arial" w:cs="Arial"/>
            <w:sz w:val="22"/>
            <w:szCs w:val="22"/>
          </w:rPr>
          <w:t xml:space="preserve">Report of the External Review of the Queensland Operations of </w:t>
        </w:r>
        <w:r w:rsidR="00C43960" w:rsidRPr="004E445D">
          <w:rPr>
            <w:rStyle w:val="Hyperlink"/>
            <w:rFonts w:ascii="Arial" w:hAnsi="Arial" w:cs="Arial"/>
            <w:sz w:val="22"/>
            <w:szCs w:val="22"/>
          </w:rPr>
          <w:t>T</w:t>
        </w:r>
        <w:r w:rsidR="00C04281" w:rsidRPr="004E445D">
          <w:rPr>
            <w:rStyle w:val="Hyperlink"/>
            <w:rFonts w:ascii="Arial" w:hAnsi="Arial" w:cs="Arial"/>
            <w:sz w:val="22"/>
            <w:szCs w:val="22"/>
          </w:rPr>
          <w:t>he Star Entertainment Group Limited</w:t>
        </w:r>
      </w:hyperlink>
      <w:r w:rsidR="00C04281" w:rsidRPr="004E445D">
        <w:rPr>
          <w:rFonts w:ascii="Arial" w:hAnsi="Arial" w:cs="Arial"/>
          <w:sz w:val="22"/>
          <w:szCs w:val="22"/>
        </w:rPr>
        <w:t xml:space="preserve"> </w:t>
      </w:r>
    </w:p>
    <w:p w14:paraId="02FAC266" w14:textId="0E272AE2" w:rsidR="00D31FE8" w:rsidRPr="005E2C4D" w:rsidRDefault="00BB6924" w:rsidP="00EA71FA">
      <w:pPr>
        <w:pStyle w:val="ListParagraph"/>
        <w:keepLines/>
        <w:numPr>
          <w:ilvl w:val="0"/>
          <w:numId w:val="3"/>
        </w:numPr>
        <w:spacing w:before="120"/>
        <w:ind w:left="709" w:hanging="284"/>
        <w:contextualSpacing w:val="0"/>
        <w:jc w:val="both"/>
        <w:rPr>
          <w:rStyle w:val="eop"/>
          <w:rFonts w:ascii="Arial" w:hAnsi="Arial" w:cs="Arial"/>
          <w:color w:val="000000" w:themeColor="text1"/>
          <w:sz w:val="22"/>
          <w:szCs w:val="22"/>
        </w:rPr>
      </w:pPr>
      <w:hyperlink r:id="rId10" w:history="1">
        <w:r w:rsidR="00C04281" w:rsidRPr="004E445D">
          <w:rPr>
            <w:rStyle w:val="Hyperlink"/>
            <w:rFonts w:ascii="Arial" w:hAnsi="Arial" w:cs="Arial"/>
            <w:sz w:val="22"/>
            <w:szCs w:val="22"/>
          </w:rPr>
          <w:t>Government response (media release)</w:t>
        </w:r>
      </w:hyperlink>
    </w:p>
    <w:sectPr w:rsidR="00D31FE8" w:rsidRPr="005E2C4D" w:rsidSect="00D27B5B">
      <w:head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241C0" w14:textId="77777777" w:rsidR="00A27B01" w:rsidRDefault="00A27B01" w:rsidP="00FA56A5">
      <w:r>
        <w:separator/>
      </w:r>
    </w:p>
  </w:endnote>
  <w:endnote w:type="continuationSeparator" w:id="0">
    <w:p w14:paraId="4F0DBDE5" w14:textId="77777777" w:rsidR="00A27B01" w:rsidRDefault="00A27B01" w:rsidP="00FA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F289F" w14:textId="77777777" w:rsidR="00A27B01" w:rsidRDefault="00A27B01" w:rsidP="00FA56A5">
      <w:r>
        <w:separator/>
      </w:r>
    </w:p>
  </w:footnote>
  <w:footnote w:type="continuationSeparator" w:id="0">
    <w:p w14:paraId="26C2E027" w14:textId="77777777" w:rsidR="00A27B01" w:rsidRDefault="00A27B01" w:rsidP="00FA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E5348" w14:textId="77777777" w:rsidR="005E2C4D" w:rsidRPr="00937A4A" w:rsidRDefault="005E2C4D" w:rsidP="005E2C4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7DD91C0" w14:textId="77777777" w:rsidR="005E2C4D" w:rsidRPr="00937A4A" w:rsidRDefault="005E2C4D" w:rsidP="005E2C4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6A2D4D1D" w14:textId="1BF79367" w:rsidR="005E2C4D" w:rsidRPr="00937A4A" w:rsidRDefault="005E2C4D" w:rsidP="005E2C4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>Cabinet –</w:t>
    </w:r>
    <w:r w:rsidR="0036301E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>
      <w:rPr>
        <w:rFonts w:ascii="Arial" w:hAnsi="Arial" w:cs="Arial"/>
        <w:b/>
        <w:color w:val="auto"/>
        <w:sz w:val="22"/>
        <w:szCs w:val="22"/>
        <w:lang w:eastAsia="en-US"/>
      </w:rPr>
      <w:t>October 2022</w:t>
    </w:r>
  </w:p>
  <w:p w14:paraId="66F43C02" w14:textId="0E6E930E" w:rsidR="005E2C4D" w:rsidRDefault="005E2C4D" w:rsidP="005E2C4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E2C4D">
      <w:rPr>
        <w:rFonts w:ascii="Arial" w:hAnsi="Arial" w:cs="Arial"/>
        <w:b/>
        <w:sz w:val="22"/>
        <w:szCs w:val="22"/>
        <w:u w:val="single"/>
      </w:rPr>
      <w:t>Outcomes of the ‘External review of the Queensland operations of The Star Entertainment Group Limited’ (Gotterson Review)</w:t>
    </w:r>
  </w:p>
  <w:p w14:paraId="42AEF6D6" w14:textId="17EE5B71" w:rsidR="005E2C4D" w:rsidRDefault="005E2C4D" w:rsidP="005E2C4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E2C4D">
      <w:rPr>
        <w:rFonts w:ascii="Arial" w:hAnsi="Arial" w:cs="Arial"/>
        <w:b/>
        <w:sz w:val="22"/>
        <w:szCs w:val="22"/>
        <w:u w:val="single"/>
      </w:rPr>
      <w:t>Attorney-General and Minister for Justice, Minister for Women and Minister for the Prevention of Domestic and Family Violence</w:t>
    </w:r>
  </w:p>
  <w:p w14:paraId="4D404EFA" w14:textId="77777777" w:rsidR="005E2C4D" w:rsidRDefault="005E2C4D" w:rsidP="005E2C4D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0333E"/>
    <w:multiLevelType w:val="hybridMultilevel"/>
    <w:tmpl w:val="384E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2B0E"/>
    <w:multiLevelType w:val="hybridMultilevel"/>
    <w:tmpl w:val="F110B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9596D"/>
    <w:multiLevelType w:val="hybridMultilevel"/>
    <w:tmpl w:val="D5B0582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7042724">
    <w:abstractNumId w:val="3"/>
  </w:num>
  <w:num w:numId="2" w16cid:durableId="911236306">
    <w:abstractNumId w:val="0"/>
  </w:num>
  <w:num w:numId="3" w16cid:durableId="499350131">
    <w:abstractNumId w:val="2"/>
  </w:num>
  <w:num w:numId="4" w16cid:durableId="1974871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A5"/>
    <w:rsid w:val="0003103C"/>
    <w:rsid w:val="001F1993"/>
    <w:rsid w:val="002C7F3E"/>
    <w:rsid w:val="0036301E"/>
    <w:rsid w:val="003B21D8"/>
    <w:rsid w:val="003D57A6"/>
    <w:rsid w:val="00446079"/>
    <w:rsid w:val="004E445D"/>
    <w:rsid w:val="0050144F"/>
    <w:rsid w:val="00552C39"/>
    <w:rsid w:val="00592E00"/>
    <w:rsid w:val="005E2C4D"/>
    <w:rsid w:val="00767AE5"/>
    <w:rsid w:val="007C1822"/>
    <w:rsid w:val="00811365"/>
    <w:rsid w:val="00A27B01"/>
    <w:rsid w:val="00A84841"/>
    <w:rsid w:val="00AF290D"/>
    <w:rsid w:val="00BB6924"/>
    <w:rsid w:val="00C04281"/>
    <w:rsid w:val="00C07F9D"/>
    <w:rsid w:val="00C35FB6"/>
    <w:rsid w:val="00C43960"/>
    <w:rsid w:val="00D07C53"/>
    <w:rsid w:val="00D27B5B"/>
    <w:rsid w:val="00D31FE8"/>
    <w:rsid w:val="00D96DD5"/>
    <w:rsid w:val="00E84DE1"/>
    <w:rsid w:val="00EA71FA"/>
    <w:rsid w:val="00FA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047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6A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6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6A5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FA56A5"/>
    <w:pPr>
      <w:ind w:left="720"/>
      <w:contextualSpacing/>
    </w:pPr>
  </w:style>
  <w:style w:type="character" w:customStyle="1" w:styleId="eop">
    <w:name w:val="eop"/>
    <w:basedOn w:val="DefaultParagraphFont"/>
    <w:rsid w:val="00FA56A5"/>
  </w:style>
  <w:style w:type="paragraph" w:styleId="Footer">
    <w:name w:val="footer"/>
    <w:basedOn w:val="Normal"/>
    <w:link w:val="FooterChar"/>
    <w:uiPriority w:val="99"/>
    <w:unhideWhenUsed/>
    <w:rsid w:val="00FA56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6A5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Revision">
    <w:name w:val="Revision"/>
    <w:hidden/>
    <w:uiPriority w:val="99"/>
    <w:semiHidden/>
    <w:rsid w:val="005E2C4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01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14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44F"/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44F"/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AF29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9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44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pcqld.sharepoint.com/sites/DPC-CABINETSERVICES/Shared%20Documents/General/Proactive%20Release/ToBeProcessed/2022/Oct/StarReview/Attachments/Release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dpcqld.sharepoint.com/sites/DPC-CABINETSERVICES/Shared%20Documents/General/Proactive%20Release/ToBeProcessed/2022/Oct/StarReview/Attachments/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E77B19-51B9-4D2B-B3D7-26A6DB22D1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C9B58-DBBD-41B6-977C-1A1F34B67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148</Words>
  <Characters>871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Base>https://www.cabinet.qld.gov.au/documents/2022/Oct/StarReview/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dcterms:created xsi:type="dcterms:W3CDTF">2022-09-30T06:11:00Z</dcterms:created>
  <dcterms:modified xsi:type="dcterms:W3CDTF">2024-09-17T01:18:00Z</dcterms:modified>
  <cp:category>Gaming</cp:category>
</cp:coreProperties>
</file>